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3A6CC90" w14:textId="77777777" w:rsidR="00000000" w:rsidRDefault="00000000">
      <w:pPr>
        <w:pStyle w:val="Title"/>
      </w:pPr>
      <w:r>
        <w:t>Fred Trott’s Story</w:t>
      </w:r>
    </w:p>
    <w:p w14:paraId="61029A69" w14:textId="77777777" w:rsidR="00000000" w:rsidRDefault="00000000">
      <w:pPr>
        <w:autoSpaceDE w:val="0"/>
        <w:autoSpaceDN w:val="0"/>
        <w:adjustRightInd w:val="0"/>
        <w:jc w:val="center"/>
        <w:rPr>
          <w:rFonts w:ascii="Garamond" w:hAnsi="Garamond" w:cs="Arial"/>
          <w:b/>
          <w:bCs/>
          <w:sz w:val="28"/>
          <w:szCs w:val="12"/>
          <w:lang w:val="en-US"/>
        </w:rPr>
      </w:pPr>
    </w:p>
    <w:p w14:paraId="3BEA8FC7" w14:textId="6432ADED" w:rsidR="00000000" w:rsidRDefault="00CE1924">
      <w:pPr>
        <w:autoSpaceDE w:val="0"/>
        <w:autoSpaceDN w:val="0"/>
        <w:adjustRightInd w:val="0"/>
        <w:jc w:val="center"/>
        <w:rPr>
          <w:rFonts w:ascii="Garamond" w:hAnsi="Garamond" w:cs="Arial"/>
          <w:b/>
          <w:bCs/>
          <w:sz w:val="28"/>
          <w:szCs w:val="12"/>
          <w:lang w:val="en-US"/>
        </w:rPr>
      </w:pPr>
      <w:r>
        <w:rPr>
          <w:rFonts w:ascii="Garamond" w:hAnsi="Garamond" w:cs="Arial"/>
          <w:b/>
          <w:bCs/>
          <w:noProof/>
          <w:sz w:val="28"/>
          <w:szCs w:val="12"/>
          <w:lang w:val="en-US"/>
        </w:rPr>
        <w:drawing>
          <wp:inline distT="0" distB="0" distL="0" distR="0" wp14:anchorId="6077ED42" wp14:editId="353F9B39">
            <wp:extent cx="1219200" cy="1724025"/>
            <wp:effectExtent l="0" t="0" r="0" b="0"/>
            <wp:docPr id="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19200" cy="1724025"/>
                    </a:xfrm>
                    <a:prstGeom prst="rect">
                      <a:avLst/>
                    </a:prstGeom>
                    <a:noFill/>
                    <a:ln>
                      <a:noFill/>
                    </a:ln>
                  </pic:spPr>
                </pic:pic>
              </a:graphicData>
            </a:graphic>
          </wp:inline>
        </w:drawing>
      </w:r>
    </w:p>
    <w:p w14:paraId="309A92C5" w14:textId="77777777" w:rsidR="00000000" w:rsidRDefault="00000000">
      <w:pPr>
        <w:autoSpaceDE w:val="0"/>
        <w:autoSpaceDN w:val="0"/>
        <w:adjustRightInd w:val="0"/>
        <w:jc w:val="center"/>
        <w:rPr>
          <w:rFonts w:ascii="Garamond" w:hAnsi="Garamond" w:cs="Arial"/>
          <w:b/>
          <w:bCs/>
          <w:sz w:val="28"/>
          <w:szCs w:val="12"/>
          <w:lang w:val="en-US"/>
        </w:rPr>
      </w:pPr>
    </w:p>
    <w:p w14:paraId="34FD625D" w14:textId="77777777" w:rsidR="00000000" w:rsidRDefault="00000000">
      <w:pPr>
        <w:pStyle w:val="Title"/>
        <w:jc w:val="left"/>
        <w:rPr>
          <w:b w:val="0"/>
          <w:bCs w:val="0"/>
          <w:sz w:val="32"/>
        </w:rPr>
      </w:pPr>
      <w:r>
        <w:rPr>
          <w:b w:val="0"/>
          <w:bCs w:val="0"/>
          <w:sz w:val="32"/>
        </w:rPr>
        <w:t>Buried by his brother, Gilbert, after the fighting on Hill 60 in 1915</w:t>
      </w:r>
    </w:p>
    <w:p w14:paraId="77B3589B" w14:textId="77777777" w:rsidR="00000000" w:rsidRDefault="00000000">
      <w:pPr>
        <w:autoSpaceDE w:val="0"/>
        <w:autoSpaceDN w:val="0"/>
        <w:adjustRightInd w:val="0"/>
        <w:rPr>
          <w:rFonts w:ascii="Garamond" w:hAnsi="Garamond" w:cs="Arial"/>
          <w:szCs w:val="26"/>
          <w:lang w:val="en-US"/>
        </w:rPr>
      </w:pPr>
    </w:p>
    <w:p w14:paraId="365B35CF" w14:textId="77777777" w:rsidR="00000000" w:rsidRDefault="00000000">
      <w:pPr>
        <w:autoSpaceDE w:val="0"/>
        <w:autoSpaceDN w:val="0"/>
        <w:adjustRightInd w:val="0"/>
        <w:rPr>
          <w:rFonts w:ascii="Garamond" w:hAnsi="Garamond" w:cs="Arial"/>
          <w:szCs w:val="26"/>
          <w:lang w:val="en-US"/>
        </w:rPr>
      </w:pPr>
    </w:p>
    <w:p w14:paraId="642C17A5" w14:textId="77777777" w:rsidR="00000000" w:rsidRDefault="00000000">
      <w:pPr>
        <w:autoSpaceDE w:val="0"/>
        <w:autoSpaceDN w:val="0"/>
        <w:adjustRightInd w:val="0"/>
        <w:rPr>
          <w:rFonts w:ascii="Garamond" w:hAnsi="Garamond" w:cs="Arial"/>
          <w:szCs w:val="26"/>
          <w:lang w:val="en-US"/>
        </w:rPr>
      </w:pPr>
      <w:r>
        <w:rPr>
          <w:rFonts w:ascii="Garamond" w:hAnsi="Garamond" w:cs="Arial"/>
          <w:szCs w:val="26"/>
          <w:lang w:val="en-US"/>
        </w:rPr>
        <w:t>Cecily Beauchamp, whose son, John Beauchamp II owned the Manor of Stoke in the thirteenth century, compiled an inventory of Stoke. Several villagers are named, among them Hugh Trot.  So Trot is a very ancient name in the village.  While Fred’s Trott forebears may well have originated from Stoke, his father, Thomas Trott, was actually born in South Petherton.  Thomas had a brother called Henry who I believe was the father of Percy Trott, Fred’s cousin who also died in the 1</w:t>
      </w:r>
      <w:r>
        <w:rPr>
          <w:rFonts w:ascii="Garamond" w:hAnsi="Garamond" w:cs="Arial"/>
          <w:szCs w:val="26"/>
          <w:vertAlign w:val="superscript"/>
          <w:lang w:val="en-US"/>
        </w:rPr>
        <w:t>st</w:t>
      </w:r>
      <w:r>
        <w:rPr>
          <w:rFonts w:ascii="Garamond" w:hAnsi="Garamond" w:cs="Arial"/>
          <w:szCs w:val="26"/>
          <w:lang w:val="en-US"/>
        </w:rPr>
        <w:t xml:space="preserve"> World War.</w:t>
      </w:r>
    </w:p>
    <w:p w14:paraId="0A93FFCB" w14:textId="77777777" w:rsidR="00000000" w:rsidRDefault="00000000">
      <w:pPr>
        <w:autoSpaceDE w:val="0"/>
        <w:autoSpaceDN w:val="0"/>
        <w:adjustRightInd w:val="0"/>
        <w:rPr>
          <w:rFonts w:ascii="Garamond" w:hAnsi="Garamond" w:cs="Arial"/>
          <w:szCs w:val="26"/>
          <w:lang w:val="en-US"/>
        </w:rPr>
      </w:pPr>
    </w:p>
    <w:p w14:paraId="6AC8C2F8" w14:textId="77777777" w:rsidR="00000000" w:rsidRDefault="00000000">
      <w:pPr>
        <w:autoSpaceDE w:val="0"/>
        <w:autoSpaceDN w:val="0"/>
        <w:adjustRightInd w:val="0"/>
        <w:rPr>
          <w:rFonts w:ascii="Garamond" w:hAnsi="Garamond" w:cs="Arial"/>
          <w:szCs w:val="26"/>
          <w:lang w:val="en-US"/>
        </w:rPr>
      </w:pPr>
      <w:r>
        <w:rPr>
          <w:rFonts w:ascii="Garamond" w:hAnsi="Garamond" w:cs="Arial"/>
          <w:szCs w:val="26"/>
          <w:lang w:val="en-US"/>
        </w:rPr>
        <w:t>His mother, Angelina Hellier, was born in Stoke, and I have traced her family back through the census returns to her father, Thomas, living with his parents in Castle Street in 1841.</w:t>
      </w:r>
    </w:p>
    <w:p w14:paraId="32EC9516" w14:textId="77777777" w:rsidR="00000000" w:rsidRDefault="00000000">
      <w:pPr>
        <w:autoSpaceDE w:val="0"/>
        <w:autoSpaceDN w:val="0"/>
        <w:adjustRightInd w:val="0"/>
        <w:rPr>
          <w:rFonts w:ascii="Garamond" w:hAnsi="Garamond" w:cs="Arial"/>
          <w:szCs w:val="26"/>
          <w:lang w:val="en-US"/>
        </w:rPr>
      </w:pPr>
    </w:p>
    <w:p w14:paraId="39204389" w14:textId="77777777" w:rsidR="00000000" w:rsidRDefault="00000000">
      <w:pPr>
        <w:autoSpaceDE w:val="0"/>
        <w:autoSpaceDN w:val="0"/>
        <w:adjustRightInd w:val="0"/>
        <w:rPr>
          <w:rFonts w:ascii="Garamond" w:hAnsi="Garamond" w:cs="Arial"/>
          <w:szCs w:val="26"/>
          <w:lang w:val="en-US"/>
        </w:rPr>
      </w:pPr>
      <w:r>
        <w:rPr>
          <w:rFonts w:ascii="Garamond" w:hAnsi="Garamond" w:cs="Arial"/>
          <w:szCs w:val="26"/>
          <w:lang w:val="en-US"/>
        </w:rPr>
        <w:t xml:space="preserve">The 1901 census shows the family living in West Street.  Fred is nine years old.  There were eight children:  Arthur Joseph, Beatrice, Sidney, Daisy, Fred, Gilbert, Nellie and Minnie.  Of these, Arthur, Sidney, Gilbert and Frederick would all serve in the War.  Only Arthur and Sidney would come back.  . </w:t>
      </w:r>
    </w:p>
    <w:p w14:paraId="25CBB0BE" w14:textId="77777777" w:rsidR="00000000" w:rsidRDefault="00000000">
      <w:pPr>
        <w:autoSpaceDE w:val="0"/>
        <w:autoSpaceDN w:val="0"/>
        <w:adjustRightInd w:val="0"/>
        <w:rPr>
          <w:rFonts w:ascii="Garamond" w:hAnsi="Garamond" w:cs="Arial"/>
          <w:szCs w:val="26"/>
          <w:lang w:val="en-US"/>
        </w:rPr>
      </w:pPr>
    </w:p>
    <w:p w14:paraId="124837ED" w14:textId="77777777" w:rsidR="00000000" w:rsidRDefault="00000000">
      <w:pPr>
        <w:autoSpaceDE w:val="0"/>
        <w:autoSpaceDN w:val="0"/>
        <w:adjustRightInd w:val="0"/>
        <w:rPr>
          <w:rFonts w:ascii="Garamond" w:hAnsi="Garamond" w:cs="Arial"/>
          <w:szCs w:val="26"/>
          <w:lang w:val="en-US"/>
        </w:rPr>
      </w:pPr>
      <w:r>
        <w:rPr>
          <w:rFonts w:ascii="Garamond" w:hAnsi="Garamond" w:cs="Arial"/>
          <w:szCs w:val="26"/>
          <w:lang w:val="en-US"/>
        </w:rPr>
        <w:t xml:space="preserve">Both sides of the family were farm labourers and glovers.  By the time of the 1911 census, Thomas Trott had added “thatcher” to “farm labourer” as his occupation.  The family were living in North Street and Frederick was 19 years old.  The brother nearest him in age was Gilbert, about a year younger.  </w:t>
      </w:r>
    </w:p>
    <w:p w14:paraId="77963CD6" w14:textId="77777777" w:rsidR="00000000" w:rsidRDefault="00000000">
      <w:pPr>
        <w:autoSpaceDE w:val="0"/>
        <w:autoSpaceDN w:val="0"/>
        <w:adjustRightInd w:val="0"/>
        <w:rPr>
          <w:rFonts w:ascii="Garamond" w:hAnsi="Garamond" w:cs="Arial"/>
          <w:szCs w:val="26"/>
          <w:lang w:val="en-US"/>
        </w:rPr>
      </w:pPr>
    </w:p>
    <w:p w14:paraId="59A8D15B" w14:textId="77777777" w:rsidR="00000000" w:rsidRDefault="00000000">
      <w:pPr>
        <w:autoSpaceDE w:val="0"/>
        <w:autoSpaceDN w:val="0"/>
        <w:adjustRightInd w:val="0"/>
        <w:rPr>
          <w:rFonts w:ascii="Garamond" w:hAnsi="Garamond" w:cs="Arial"/>
          <w:szCs w:val="26"/>
          <w:lang w:val="en-US"/>
        </w:rPr>
      </w:pPr>
      <w:r>
        <w:rPr>
          <w:rFonts w:ascii="Garamond" w:hAnsi="Garamond" w:cs="Arial"/>
          <w:szCs w:val="26"/>
          <w:lang w:val="en-US"/>
        </w:rPr>
        <w:t>The school log book reports that A Trott was punished for smoking in the store room on 11</w:t>
      </w:r>
      <w:r>
        <w:rPr>
          <w:rFonts w:ascii="Garamond" w:hAnsi="Garamond" w:cs="Arial"/>
          <w:szCs w:val="26"/>
          <w:vertAlign w:val="superscript"/>
          <w:lang w:val="en-US"/>
        </w:rPr>
        <w:t>th</w:t>
      </w:r>
      <w:r>
        <w:rPr>
          <w:rFonts w:ascii="Garamond" w:hAnsi="Garamond" w:cs="Arial"/>
          <w:szCs w:val="26"/>
          <w:lang w:val="en-US"/>
        </w:rPr>
        <w:t xml:space="preserve"> October 1895.  Could this have been Fred’s elder brother, Arthur, aged 11 years?  </w:t>
      </w:r>
    </w:p>
    <w:p w14:paraId="3C747463" w14:textId="68B813BE" w:rsidR="00000000" w:rsidRDefault="00CE1924">
      <w:pPr>
        <w:autoSpaceDE w:val="0"/>
        <w:autoSpaceDN w:val="0"/>
        <w:adjustRightInd w:val="0"/>
        <w:rPr>
          <w:rFonts w:ascii="Garamond" w:hAnsi="Garamond" w:cs="Arial"/>
          <w:szCs w:val="26"/>
          <w:lang w:val="en-US"/>
        </w:rPr>
      </w:pPr>
      <w:r>
        <w:rPr>
          <w:rFonts w:ascii="Garamond" w:hAnsi="Garamond" w:cs="Arial"/>
          <w:noProof/>
          <w:szCs w:val="26"/>
          <w:lang w:val="en-US"/>
        </w:rPr>
        <w:lastRenderedPageBreak/>
        <w:drawing>
          <wp:inline distT="0" distB="0" distL="0" distR="0" wp14:anchorId="73D5E19A" wp14:editId="6EED71C0">
            <wp:extent cx="5267325" cy="3409950"/>
            <wp:effectExtent l="0" t="0" r="0" b="0"/>
            <wp:docPr id="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67325" cy="3409950"/>
                    </a:xfrm>
                    <a:prstGeom prst="rect">
                      <a:avLst/>
                    </a:prstGeom>
                    <a:noFill/>
                    <a:ln>
                      <a:noFill/>
                    </a:ln>
                  </pic:spPr>
                </pic:pic>
              </a:graphicData>
            </a:graphic>
          </wp:inline>
        </w:drawing>
      </w:r>
    </w:p>
    <w:p w14:paraId="5AA1DC1F" w14:textId="77777777" w:rsidR="00000000" w:rsidRDefault="00000000">
      <w:pPr>
        <w:autoSpaceDE w:val="0"/>
        <w:autoSpaceDN w:val="0"/>
        <w:adjustRightInd w:val="0"/>
        <w:jc w:val="center"/>
        <w:rPr>
          <w:rFonts w:ascii="Garamond" w:hAnsi="Garamond" w:cs="Arial"/>
          <w:b/>
          <w:bCs/>
          <w:sz w:val="22"/>
          <w:szCs w:val="12"/>
          <w:lang w:val="en-US"/>
        </w:rPr>
      </w:pPr>
      <w:r>
        <w:rPr>
          <w:rFonts w:ascii="Garamond" w:hAnsi="Garamond" w:cs="Arial"/>
          <w:b/>
          <w:bCs/>
          <w:sz w:val="22"/>
          <w:szCs w:val="12"/>
          <w:lang w:val="en-US"/>
        </w:rPr>
        <w:t>Stoke Volunteers</w:t>
      </w:r>
    </w:p>
    <w:p w14:paraId="0E866928" w14:textId="77777777" w:rsidR="00000000" w:rsidRDefault="00000000">
      <w:pPr>
        <w:autoSpaceDE w:val="0"/>
        <w:autoSpaceDN w:val="0"/>
        <w:adjustRightInd w:val="0"/>
        <w:jc w:val="center"/>
        <w:rPr>
          <w:rFonts w:ascii="Garamond" w:hAnsi="Garamond" w:cs="Arial"/>
          <w:szCs w:val="12"/>
          <w:lang w:val="en-US"/>
        </w:rPr>
      </w:pPr>
      <w:r>
        <w:rPr>
          <w:rFonts w:ascii="Garamond" w:hAnsi="Garamond" w:cs="Arial"/>
          <w:b/>
          <w:bCs/>
          <w:sz w:val="22"/>
          <w:szCs w:val="12"/>
          <w:lang w:val="en-US"/>
        </w:rPr>
        <w:t>Fred and Gilbert Trott are in this photograph. One of them is said to be extreme right, back row.  The other is either the man standing next to him or on the extreme left, back row.</w:t>
      </w:r>
    </w:p>
    <w:p w14:paraId="557CD97B" w14:textId="77777777" w:rsidR="00000000" w:rsidRDefault="00000000">
      <w:pPr>
        <w:pStyle w:val="Footer"/>
        <w:tabs>
          <w:tab w:val="clear" w:pos="4153"/>
          <w:tab w:val="clear" w:pos="8306"/>
        </w:tabs>
        <w:autoSpaceDE w:val="0"/>
        <w:autoSpaceDN w:val="0"/>
        <w:adjustRightInd w:val="0"/>
        <w:rPr>
          <w:rFonts w:ascii="Garamond" w:hAnsi="Garamond" w:cs="Arial"/>
          <w:szCs w:val="12"/>
          <w:lang w:val="en-US"/>
        </w:rPr>
      </w:pPr>
    </w:p>
    <w:p w14:paraId="31B01522" w14:textId="77777777" w:rsidR="00000000" w:rsidRDefault="00000000">
      <w:pPr>
        <w:autoSpaceDE w:val="0"/>
        <w:autoSpaceDN w:val="0"/>
        <w:adjustRightInd w:val="0"/>
        <w:rPr>
          <w:rFonts w:ascii="Garamond" w:hAnsi="Garamond" w:cs="Arial"/>
          <w:szCs w:val="12"/>
          <w:lang w:val="en-US"/>
        </w:rPr>
      </w:pPr>
      <w:r>
        <w:rPr>
          <w:rFonts w:ascii="Garamond" w:hAnsi="Garamond" w:cs="Arial"/>
          <w:szCs w:val="12"/>
          <w:lang w:val="en-US"/>
        </w:rPr>
        <w:t>Fred enlisted in Yeovil in the 1</w:t>
      </w:r>
      <w:r>
        <w:rPr>
          <w:rFonts w:ascii="Garamond" w:hAnsi="Garamond" w:cs="Arial"/>
          <w:szCs w:val="12"/>
          <w:vertAlign w:val="superscript"/>
          <w:lang w:val="en-US"/>
        </w:rPr>
        <w:t>st</w:t>
      </w:r>
      <w:r>
        <w:rPr>
          <w:rFonts w:ascii="Garamond" w:hAnsi="Garamond" w:cs="Arial"/>
          <w:szCs w:val="12"/>
          <w:lang w:val="en-US"/>
        </w:rPr>
        <w:t xml:space="preserve"> Battalion of the Somerset Light Infantry.  His service number was 15317.  Gilbert’s was 15316.  They must have been standing in the line together when they enlisted.  Ten of the Stoke men who died were in the 1</w:t>
      </w:r>
      <w:r>
        <w:rPr>
          <w:rFonts w:ascii="Garamond" w:hAnsi="Garamond" w:cs="Arial"/>
          <w:szCs w:val="12"/>
          <w:vertAlign w:val="superscript"/>
          <w:lang w:val="en-US"/>
        </w:rPr>
        <w:t>st</w:t>
      </w:r>
      <w:r>
        <w:rPr>
          <w:rFonts w:ascii="Garamond" w:hAnsi="Garamond" w:cs="Arial"/>
          <w:szCs w:val="12"/>
          <w:lang w:val="en-US"/>
        </w:rPr>
        <w:t xml:space="preserve"> Battalion.</w:t>
      </w:r>
    </w:p>
    <w:p w14:paraId="4B277DD6" w14:textId="77777777" w:rsidR="00000000" w:rsidRDefault="00000000">
      <w:pPr>
        <w:autoSpaceDE w:val="0"/>
        <w:autoSpaceDN w:val="0"/>
        <w:adjustRightInd w:val="0"/>
        <w:rPr>
          <w:rFonts w:ascii="Garamond" w:hAnsi="Garamond" w:cs="Arial"/>
          <w:szCs w:val="12"/>
          <w:lang w:val="en-US"/>
        </w:rPr>
      </w:pPr>
    </w:p>
    <w:p w14:paraId="45135555" w14:textId="77777777" w:rsidR="00000000" w:rsidRDefault="00000000">
      <w:pPr>
        <w:rPr>
          <w:rFonts w:ascii="Garamond" w:hAnsi="Garamond" w:cs="Arial"/>
          <w:szCs w:val="19"/>
        </w:rPr>
      </w:pPr>
      <w:r>
        <w:rPr>
          <w:rFonts w:ascii="Garamond" w:hAnsi="Garamond" w:cs="Arial"/>
          <w:szCs w:val="19"/>
        </w:rPr>
        <w:t>Fred arrived in France on 21</w:t>
      </w:r>
      <w:r>
        <w:rPr>
          <w:rFonts w:ascii="Garamond" w:hAnsi="Garamond" w:cs="Arial"/>
          <w:szCs w:val="19"/>
          <w:vertAlign w:val="superscript"/>
        </w:rPr>
        <w:t>st</w:t>
      </w:r>
      <w:r>
        <w:rPr>
          <w:rFonts w:ascii="Garamond" w:hAnsi="Garamond" w:cs="Arial"/>
          <w:szCs w:val="19"/>
        </w:rPr>
        <w:t xml:space="preserve"> April 1915.  Gilbert had arrived a month earlier, on 24</w:t>
      </w:r>
      <w:r>
        <w:rPr>
          <w:rFonts w:ascii="Garamond" w:hAnsi="Garamond" w:cs="Arial"/>
          <w:szCs w:val="19"/>
          <w:vertAlign w:val="superscript"/>
        </w:rPr>
        <w:t>th</w:t>
      </w:r>
      <w:r>
        <w:rPr>
          <w:rFonts w:ascii="Garamond" w:hAnsi="Garamond" w:cs="Arial"/>
          <w:szCs w:val="19"/>
        </w:rPr>
        <w:t xml:space="preserve"> March.    </w:t>
      </w:r>
    </w:p>
    <w:p w14:paraId="11BD6883" w14:textId="77777777" w:rsidR="00000000" w:rsidRDefault="00000000">
      <w:pPr>
        <w:rPr>
          <w:rFonts w:ascii="Garamond" w:hAnsi="Garamond" w:cs="Arial"/>
          <w:szCs w:val="19"/>
        </w:rPr>
      </w:pPr>
    </w:p>
    <w:p w14:paraId="2A5F19C5" w14:textId="77777777" w:rsidR="00000000" w:rsidRDefault="00000000">
      <w:pPr>
        <w:autoSpaceDE w:val="0"/>
        <w:autoSpaceDN w:val="0"/>
        <w:adjustRightInd w:val="0"/>
        <w:rPr>
          <w:rFonts w:ascii="Garamond" w:hAnsi="Garamond" w:cs="Arial"/>
          <w:szCs w:val="38"/>
          <w:lang w:val="en-US"/>
        </w:rPr>
      </w:pPr>
    </w:p>
    <w:p w14:paraId="1D6C6C8A" w14:textId="77777777" w:rsidR="00000000" w:rsidRDefault="00000000">
      <w:pPr>
        <w:autoSpaceDE w:val="0"/>
        <w:autoSpaceDN w:val="0"/>
        <w:adjustRightInd w:val="0"/>
        <w:rPr>
          <w:rFonts w:ascii="Garamond" w:hAnsi="Garamond" w:cs="Arial"/>
          <w:b/>
          <w:bCs/>
          <w:sz w:val="32"/>
          <w:szCs w:val="38"/>
          <w:lang w:val="en-US"/>
        </w:rPr>
      </w:pPr>
      <w:r>
        <w:rPr>
          <w:rFonts w:ascii="Garamond" w:hAnsi="Garamond" w:cs="Arial"/>
          <w:b/>
          <w:bCs/>
          <w:sz w:val="32"/>
          <w:szCs w:val="38"/>
          <w:lang w:val="en-US"/>
        </w:rPr>
        <w:t>2</w:t>
      </w:r>
      <w:r>
        <w:rPr>
          <w:rFonts w:ascii="Garamond" w:hAnsi="Garamond" w:cs="Arial"/>
          <w:b/>
          <w:bCs/>
          <w:sz w:val="32"/>
          <w:szCs w:val="38"/>
          <w:vertAlign w:val="superscript"/>
          <w:lang w:val="en-US"/>
        </w:rPr>
        <w:t>nd</w:t>
      </w:r>
      <w:r>
        <w:rPr>
          <w:rFonts w:ascii="Garamond" w:hAnsi="Garamond" w:cs="Arial"/>
          <w:b/>
          <w:bCs/>
          <w:sz w:val="32"/>
          <w:szCs w:val="38"/>
          <w:lang w:val="en-US"/>
        </w:rPr>
        <w:t xml:space="preserve"> Battle of Ypres - GAS</w:t>
      </w:r>
    </w:p>
    <w:p w14:paraId="638CB908" w14:textId="77777777" w:rsidR="00000000" w:rsidRDefault="00000000">
      <w:pPr>
        <w:autoSpaceDE w:val="0"/>
        <w:autoSpaceDN w:val="0"/>
        <w:adjustRightInd w:val="0"/>
        <w:rPr>
          <w:rFonts w:ascii="Garamond" w:hAnsi="Garamond" w:cs="Arial"/>
          <w:szCs w:val="38"/>
          <w:lang w:val="en-US"/>
        </w:rPr>
      </w:pPr>
    </w:p>
    <w:p w14:paraId="28A34C03" w14:textId="77777777" w:rsidR="00000000" w:rsidRDefault="00000000">
      <w:pPr>
        <w:autoSpaceDE w:val="0"/>
        <w:autoSpaceDN w:val="0"/>
        <w:adjustRightInd w:val="0"/>
        <w:rPr>
          <w:rFonts w:ascii="Garamond" w:hAnsi="Garamond"/>
        </w:rPr>
      </w:pPr>
      <w:r>
        <w:rPr>
          <w:rFonts w:ascii="Garamond" w:hAnsi="Garamond" w:cs="Arial"/>
          <w:szCs w:val="38"/>
          <w:lang w:val="en-US"/>
        </w:rPr>
        <w:t>The 1</w:t>
      </w:r>
      <w:r>
        <w:rPr>
          <w:rFonts w:ascii="Garamond" w:hAnsi="Garamond" w:cs="Arial"/>
          <w:szCs w:val="38"/>
          <w:vertAlign w:val="superscript"/>
          <w:lang w:val="en-US"/>
        </w:rPr>
        <w:t>st</w:t>
      </w:r>
      <w:r>
        <w:rPr>
          <w:rFonts w:ascii="Garamond" w:hAnsi="Garamond" w:cs="Arial"/>
          <w:szCs w:val="38"/>
          <w:lang w:val="en-US"/>
        </w:rPr>
        <w:t xml:space="preserve"> Battalion was with the 4</w:t>
      </w:r>
      <w:r>
        <w:rPr>
          <w:rFonts w:ascii="Garamond" w:hAnsi="Garamond" w:cs="Arial"/>
          <w:szCs w:val="38"/>
          <w:vertAlign w:val="superscript"/>
          <w:lang w:val="en-US"/>
        </w:rPr>
        <w:t>th</w:t>
      </w:r>
      <w:r>
        <w:rPr>
          <w:rFonts w:ascii="Garamond" w:hAnsi="Garamond" w:cs="Arial"/>
          <w:szCs w:val="38"/>
          <w:lang w:val="en-US"/>
        </w:rPr>
        <w:t xml:space="preserve"> Division which took part in the 2</w:t>
      </w:r>
      <w:r>
        <w:rPr>
          <w:rFonts w:ascii="Garamond" w:hAnsi="Garamond" w:cs="Arial"/>
          <w:szCs w:val="38"/>
          <w:vertAlign w:val="superscript"/>
          <w:lang w:val="en-US"/>
        </w:rPr>
        <w:t>nd</w:t>
      </w:r>
      <w:r>
        <w:rPr>
          <w:rFonts w:ascii="Garamond" w:hAnsi="Garamond" w:cs="Arial"/>
          <w:szCs w:val="38"/>
          <w:lang w:val="en-US"/>
        </w:rPr>
        <w:t xml:space="preserve"> Battle of Ypres.  Gilbert would have been in France for a month but Fred would only have just arrived in France by the time of this action where the Germans first used gas as a weapon.  On 22</w:t>
      </w:r>
      <w:r>
        <w:rPr>
          <w:rFonts w:ascii="Garamond" w:hAnsi="Garamond" w:cs="Arial"/>
          <w:szCs w:val="38"/>
          <w:vertAlign w:val="superscript"/>
          <w:lang w:val="en-US"/>
        </w:rPr>
        <w:t>nd</w:t>
      </w:r>
      <w:r>
        <w:rPr>
          <w:rFonts w:ascii="Garamond" w:hAnsi="Garamond" w:cs="Arial"/>
          <w:szCs w:val="38"/>
          <w:lang w:val="en-US"/>
        </w:rPr>
        <w:t xml:space="preserve"> April 1915 a</w:t>
      </w:r>
      <w:r>
        <w:rPr>
          <w:rFonts w:ascii="Garamond" w:hAnsi="Garamond"/>
        </w:rPr>
        <w:t xml:space="preserve"> veil of greenish-yellow mist could be clearly seen rolling across from the German front lines, and there were repeated gas attacks during the fighting around Ypres on 8</w:t>
      </w:r>
      <w:r>
        <w:rPr>
          <w:rFonts w:ascii="Garamond" w:hAnsi="Garamond"/>
          <w:vertAlign w:val="superscript"/>
        </w:rPr>
        <w:t>th</w:t>
      </w:r>
      <w:r>
        <w:rPr>
          <w:rFonts w:ascii="Garamond" w:hAnsi="Garamond"/>
        </w:rPr>
        <w:t xml:space="preserve"> May and until 13</w:t>
      </w:r>
      <w:r>
        <w:rPr>
          <w:rFonts w:ascii="Garamond" w:hAnsi="Garamond"/>
          <w:vertAlign w:val="superscript"/>
        </w:rPr>
        <w:t>th</w:t>
      </w:r>
      <w:r>
        <w:rPr>
          <w:rFonts w:ascii="Garamond" w:hAnsi="Garamond"/>
        </w:rPr>
        <w:t xml:space="preserve"> May.  </w:t>
      </w:r>
    </w:p>
    <w:p w14:paraId="1BA7DC58" w14:textId="77777777" w:rsidR="00000000" w:rsidRDefault="00000000">
      <w:pPr>
        <w:autoSpaceDE w:val="0"/>
        <w:autoSpaceDN w:val="0"/>
        <w:adjustRightInd w:val="0"/>
        <w:rPr>
          <w:rFonts w:ascii="Garamond" w:hAnsi="Garamond"/>
        </w:rPr>
      </w:pPr>
    </w:p>
    <w:p w14:paraId="11BCD9DD" w14:textId="373B09A3" w:rsidR="00000000" w:rsidRDefault="00CE1924">
      <w:pPr>
        <w:autoSpaceDE w:val="0"/>
        <w:autoSpaceDN w:val="0"/>
        <w:adjustRightInd w:val="0"/>
        <w:rPr>
          <w:rFonts w:ascii="Garamond" w:hAnsi="Garamond"/>
        </w:rPr>
      </w:pPr>
      <w:r>
        <w:rPr>
          <w:rFonts w:ascii="Arial" w:hAnsi="Arial"/>
          <w:noProof/>
          <w:sz w:val="20"/>
          <w:szCs w:val="20"/>
          <w:lang w:val="en-US"/>
        </w:rPr>
        <w:lastRenderedPageBreak/>
        <mc:AlternateContent>
          <mc:Choice Requires="wps">
            <w:drawing>
              <wp:anchor distT="0" distB="0" distL="114300" distR="114300" simplePos="0" relativeHeight="251658240" behindDoc="0" locked="0" layoutInCell="1" allowOverlap="1" wp14:anchorId="6F3CCEF9" wp14:editId="401D1853">
                <wp:simplePos x="0" y="0"/>
                <wp:positionH relativeFrom="column">
                  <wp:posOffset>2514600</wp:posOffset>
                </wp:positionH>
                <wp:positionV relativeFrom="paragraph">
                  <wp:posOffset>1600200</wp:posOffset>
                </wp:positionV>
                <wp:extent cx="1371600" cy="685800"/>
                <wp:effectExtent l="38100" t="9525" r="9525" b="57150"/>
                <wp:wrapNone/>
                <wp:docPr id="1134870367"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371600" cy="6858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3512BA3" id="Line 5" o:spid="_x0000_s1026" style="position:absolute;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8pt,126pt" to="306pt,18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">
                <v:stroke endarrow="block"/>
              </v:line>
            </w:pict>
          </mc:Fallback>
        </mc:AlternateContent>
      </w:r>
      <w:r>
        <w:rPr>
          <w:rFonts w:ascii="Arial" w:hAnsi="Arial"/>
          <w:noProof/>
          <w:sz w:val="20"/>
          <w:szCs w:val="20"/>
          <w:lang w:val="en-US"/>
        </w:rPr>
        <mc:AlternateContent>
          <mc:Choice Requires="wps">
            <w:drawing>
              <wp:anchor distT="0" distB="0" distL="114300" distR="114300" simplePos="0" relativeHeight="251657216" behindDoc="0" locked="0" layoutInCell="1" allowOverlap="1" wp14:anchorId="0ADD1461" wp14:editId="3A571F52">
                <wp:simplePos x="0" y="0"/>
                <wp:positionH relativeFrom="column">
                  <wp:posOffset>3886200</wp:posOffset>
                </wp:positionH>
                <wp:positionV relativeFrom="paragraph">
                  <wp:posOffset>1143000</wp:posOffset>
                </wp:positionV>
                <wp:extent cx="1143000" cy="800100"/>
                <wp:effectExtent l="9525" t="9525" r="9525" b="9525"/>
                <wp:wrapNone/>
                <wp:docPr id="55574261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0" cy="800100"/>
                        </a:xfrm>
                        <a:prstGeom prst="rect">
                          <a:avLst/>
                        </a:prstGeom>
                        <a:solidFill>
                          <a:srgbClr val="FFFFFF"/>
                        </a:solidFill>
                        <a:ln w="9525">
                          <a:solidFill>
                            <a:srgbClr val="000000"/>
                          </a:solidFill>
                          <a:miter lim="800000"/>
                          <a:headEnd/>
                          <a:tailEnd/>
                        </a:ln>
                      </wps:spPr>
                      <wps:txbx>
                        <w:txbxContent>
                          <w:p w14:paraId="7BE934E0" w14:textId="77777777" w:rsidR="00000000" w:rsidRDefault="00000000">
                            <w:pPr>
                              <w:rPr>
                                <w:rFonts w:ascii="Garamond" w:hAnsi="Garamond"/>
                              </w:rPr>
                            </w:pPr>
                            <w:r>
                              <w:rPr>
                                <w:rFonts w:ascii="Garamond" w:hAnsi="Garamond"/>
                              </w:rPr>
                              <w:t xml:space="preserve">Hill 60 </w:t>
                            </w:r>
                          </w:p>
                          <w:p w14:paraId="3C9E5D4D" w14:textId="77777777" w:rsidR="00000000" w:rsidRDefault="00000000">
                            <w:pPr>
                              <w:rPr>
                                <w:rFonts w:ascii="Garamond" w:hAnsi="Garamond"/>
                              </w:rPr>
                            </w:pPr>
                            <w:r>
                              <w:rPr>
                                <w:rFonts w:ascii="Garamond" w:hAnsi="Garamond"/>
                              </w:rPr>
                              <w:t>2</w:t>
                            </w:r>
                            <w:r>
                              <w:rPr>
                                <w:rFonts w:ascii="Garamond" w:hAnsi="Garamond"/>
                                <w:vertAlign w:val="superscript"/>
                              </w:rPr>
                              <w:t>nd</w:t>
                            </w:r>
                            <w:r>
                              <w:rPr>
                                <w:rFonts w:ascii="Garamond" w:hAnsi="Garamond"/>
                              </w:rPr>
                              <w:t xml:space="preserve"> Battle of Ypres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ADD1461" id="_x0000_t202" coordsize="21600,21600" o:spt="202" path="m,l,21600r21600,l21600,xe">
                <v:stroke joinstyle="miter"/>
                <v:path gradientshapeok="t" o:connecttype="rect"/>
              </v:shapetype>
              <v:shape id="Text Box 4" o:spid="_x0000_s1026" type="#_x0000_t202" style="position:absolute;margin-left:306pt;margin-top:90pt;width:90pt;height:63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">
                <v:textbox>
                  <w:txbxContent>
                    <w:p w14:paraId="7BE934E0" w14:textId="77777777" w:rsidR="00000000" w:rsidRDefault="00000000">
                      <w:pPr>
                        <w:rPr>
                          <w:rFonts w:ascii="Garamond" w:hAnsi="Garamond"/>
                        </w:rPr>
                      </w:pPr>
                      <w:r>
                        <w:rPr>
                          <w:rFonts w:ascii="Garamond" w:hAnsi="Garamond"/>
                        </w:rPr>
                        <w:t xml:space="preserve">Hill 60 </w:t>
                      </w:r>
                    </w:p>
                    <w:p w14:paraId="3C9E5D4D" w14:textId="77777777" w:rsidR="00000000" w:rsidRDefault="00000000">
                      <w:pPr>
                        <w:rPr>
                          <w:rFonts w:ascii="Garamond" w:hAnsi="Garamond"/>
                        </w:rPr>
                      </w:pPr>
                      <w:r>
                        <w:rPr>
                          <w:rFonts w:ascii="Garamond" w:hAnsi="Garamond"/>
                        </w:rPr>
                        <w:t>2</w:t>
                      </w:r>
                      <w:r>
                        <w:rPr>
                          <w:rFonts w:ascii="Garamond" w:hAnsi="Garamond"/>
                          <w:vertAlign w:val="superscript"/>
                        </w:rPr>
                        <w:t>nd</w:t>
                      </w:r>
                      <w:r>
                        <w:rPr>
                          <w:rFonts w:ascii="Garamond" w:hAnsi="Garamond"/>
                        </w:rPr>
                        <w:t xml:space="preserve"> Battle of Ypres</w:t>
                      </w:r>
                    </w:p>
                  </w:txbxContent>
                </v:textbox>
              </v:shape>
            </w:pict>
          </mc:Fallback>
        </mc:AlternateContent>
      </w:r>
      <w:r>
        <w:rPr>
          <w:rFonts w:ascii="Arial" w:hAnsi="Arial"/>
          <w:noProof/>
          <w:sz w:val="20"/>
          <w:szCs w:val="20"/>
        </w:rPr>
        <w:drawing>
          <wp:inline distT="0" distB="0" distL="0" distR="0" wp14:anchorId="5E6392B2" wp14:editId="6AF561C4">
            <wp:extent cx="3771900" cy="4000500"/>
            <wp:effectExtent l="0" t="0" r="0" b="0"/>
            <wp:docPr id="3" name="il_f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771900" cy="4000500"/>
                    </a:xfrm>
                    <a:prstGeom prst="rect">
                      <a:avLst/>
                    </a:prstGeom>
                    <a:noFill/>
                    <a:ln>
                      <a:noFill/>
                    </a:ln>
                  </pic:spPr>
                </pic:pic>
              </a:graphicData>
            </a:graphic>
          </wp:inline>
        </w:drawing>
      </w:r>
    </w:p>
    <w:p w14:paraId="14FEA81D" w14:textId="77777777" w:rsidR="00000000" w:rsidRDefault="00000000">
      <w:pPr>
        <w:autoSpaceDE w:val="0"/>
        <w:autoSpaceDN w:val="0"/>
        <w:adjustRightInd w:val="0"/>
        <w:rPr>
          <w:rFonts w:ascii="Garamond" w:hAnsi="Garamond"/>
        </w:rPr>
      </w:pPr>
    </w:p>
    <w:p w14:paraId="08841630" w14:textId="77777777" w:rsidR="00000000" w:rsidRDefault="00000000">
      <w:pPr>
        <w:autoSpaceDE w:val="0"/>
        <w:autoSpaceDN w:val="0"/>
        <w:adjustRightInd w:val="0"/>
        <w:rPr>
          <w:rFonts w:ascii="Garamond" w:hAnsi="Garamond"/>
        </w:rPr>
      </w:pPr>
    </w:p>
    <w:p w14:paraId="4E53E503" w14:textId="77777777" w:rsidR="00000000" w:rsidRDefault="00000000">
      <w:pPr>
        <w:pStyle w:val="Title"/>
        <w:jc w:val="left"/>
        <w:rPr>
          <w:sz w:val="24"/>
        </w:rPr>
      </w:pPr>
      <w:r>
        <w:rPr>
          <w:sz w:val="24"/>
        </w:rPr>
        <w:t>Lance Corporal Cook of the 1</w:t>
      </w:r>
      <w:r>
        <w:rPr>
          <w:sz w:val="24"/>
          <w:vertAlign w:val="superscript"/>
        </w:rPr>
        <w:t>st</w:t>
      </w:r>
      <w:r>
        <w:rPr>
          <w:sz w:val="24"/>
        </w:rPr>
        <w:t xml:space="preserve"> Battalion Somerset Light Infantry, describes the experience in his diary:</w:t>
      </w:r>
    </w:p>
    <w:p w14:paraId="03857910" w14:textId="77777777" w:rsidR="00000000" w:rsidRDefault="00000000">
      <w:pPr>
        <w:autoSpaceDE w:val="0"/>
        <w:autoSpaceDN w:val="0"/>
        <w:adjustRightInd w:val="0"/>
        <w:rPr>
          <w:rFonts w:ascii="Garamond" w:hAnsi="Garamond"/>
        </w:rPr>
      </w:pPr>
    </w:p>
    <w:p w14:paraId="32820D8A" w14:textId="77777777" w:rsidR="00000000" w:rsidRDefault="00000000">
      <w:pPr>
        <w:pStyle w:val="Title"/>
        <w:jc w:val="left"/>
        <w:rPr>
          <w:b w:val="0"/>
          <w:bCs w:val="0"/>
          <w:color w:val="800080"/>
          <w:sz w:val="24"/>
        </w:rPr>
      </w:pPr>
      <w:r>
        <w:rPr>
          <w:b w:val="0"/>
          <w:bCs w:val="0"/>
          <w:color w:val="800080"/>
          <w:sz w:val="24"/>
        </w:rPr>
        <w:t xml:space="preserve">“Early in the afternoon, I was gazing over the top of the trench when I saw a German walking along behind his trenches, and on his back was a large flat container.  Suddenly I noticed he was leaving a trail of smoke behind him, which later turned into a dense green mass, and commenced to roll along the ground gradually towards us.  The wind was no more than a breeze which pushed this cloud gently along in our direction.  With horror I realised that this must be the gas we had heard so much about, I hurriedly went around </w:t>
      </w:r>
    </w:p>
    <w:p w14:paraId="424E3FD9" w14:textId="77777777" w:rsidR="00000000" w:rsidRDefault="00000000">
      <w:pPr>
        <w:pStyle w:val="Title"/>
        <w:jc w:val="left"/>
        <w:rPr>
          <w:b w:val="0"/>
          <w:bCs w:val="0"/>
          <w:color w:val="800080"/>
          <w:sz w:val="24"/>
        </w:rPr>
      </w:pPr>
    </w:p>
    <w:p w14:paraId="4EF44411" w14:textId="77777777" w:rsidR="00000000" w:rsidRDefault="00000000">
      <w:pPr>
        <w:pStyle w:val="Title"/>
        <w:jc w:val="left"/>
        <w:rPr>
          <w:b w:val="0"/>
          <w:bCs w:val="0"/>
          <w:color w:val="800080"/>
          <w:sz w:val="24"/>
        </w:rPr>
      </w:pPr>
      <w:r>
        <w:rPr>
          <w:b w:val="0"/>
          <w:bCs w:val="0"/>
          <w:color w:val="800080"/>
          <w:sz w:val="24"/>
        </w:rPr>
        <w:t>and warned all the men of what was happening.  Only a few of us had been issued with some sort of protection and this consisted of a flat piece of cotton wool about 3 ins square with tapes attached, the pad being kept in position by placing it over the mouth and securing it with the tapes at the back of the neck.  I ordered those in possession to put them on at once, and those without to scoop a hole in the ground, which would immediately fill with water, soak their handkerchiefs in it and ram them in their mouth.  This being done, I got everybody to line the trench, and when the enemy appeared, to open up rapid fire.  It was not long before they emerged from their trenches keeping at a safe distance from the gas cloud in front of them….</w:t>
      </w:r>
    </w:p>
    <w:p w14:paraId="0BE43105" w14:textId="77777777" w:rsidR="00000000" w:rsidRDefault="00000000">
      <w:pPr>
        <w:pStyle w:val="Title"/>
        <w:jc w:val="left"/>
        <w:rPr>
          <w:b w:val="0"/>
          <w:bCs w:val="0"/>
          <w:color w:val="800080"/>
          <w:sz w:val="24"/>
        </w:rPr>
      </w:pPr>
    </w:p>
    <w:p w14:paraId="4C39556C" w14:textId="77777777" w:rsidR="00000000" w:rsidRDefault="00000000">
      <w:pPr>
        <w:pStyle w:val="Title"/>
        <w:jc w:val="left"/>
        <w:rPr>
          <w:b w:val="0"/>
          <w:bCs w:val="0"/>
          <w:color w:val="800080"/>
          <w:sz w:val="24"/>
        </w:rPr>
      </w:pPr>
    </w:p>
    <w:p w14:paraId="4E8EEA73" w14:textId="51B116AE" w:rsidR="00000000" w:rsidRDefault="00CE1924">
      <w:pPr>
        <w:pStyle w:val="Title"/>
        <w:ind w:firstLine="720"/>
        <w:jc w:val="left"/>
        <w:rPr>
          <w:rFonts w:ascii="Arial" w:hAnsi="Arial"/>
          <w:sz w:val="20"/>
          <w:szCs w:val="20"/>
        </w:rPr>
      </w:pPr>
      <w:r>
        <w:rPr>
          <w:rFonts w:ascii="Arial" w:hAnsi="Arial"/>
          <w:noProof/>
          <w:sz w:val="20"/>
          <w:szCs w:val="20"/>
        </w:rPr>
        <w:lastRenderedPageBreak/>
        <w:drawing>
          <wp:inline distT="0" distB="0" distL="0" distR="0" wp14:anchorId="3E3688A6" wp14:editId="4009C400">
            <wp:extent cx="3867150" cy="2609850"/>
            <wp:effectExtent l="0" t="0" r="0" b="0"/>
            <wp:docPr id="4" name="il_f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867150" cy="2609850"/>
                    </a:xfrm>
                    <a:prstGeom prst="rect">
                      <a:avLst/>
                    </a:prstGeom>
                    <a:noFill/>
                    <a:ln>
                      <a:noFill/>
                    </a:ln>
                  </pic:spPr>
                </pic:pic>
              </a:graphicData>
            </a:graphic>
          </wp:inline>
        </w:drawing>
      </w:r>
    </w:p>
    <w:p w14:paraId="5BC50BED" w14:textId="77777777" w:rsidR="00000000" w:rsidRDefault="00000000">
      <w:pPr>
        <w:pStyle w:val="Title"/>
        <w:ind w:firstLine="720"/>
        <w:jc w:val="left"/>
        <w:rPr>
          <w:b w:val="0"/>
          <w:bCs w:val="0"/>
          <w:color w:val="800080"/>
          <w:sz w:val="24"/>
        </w:rPr>
      </w:pPr>
    </w:p>
    <w:p w14:paraId="31676E3F" w14:textId="77777777" w:rsidR="00000000" w:rsidRDefault="00000000">
      <w:pPr>
        <w:pStyle w:val="Title"/>
        <w:jc w:val="left"/>
        <w:rPr>
          <w:b w:val="0"/>
          <w:bCs w:val="0"/>
          <w:color w:val="800080"/>
          <w:sz w:val="24"/>
        </w:rPr>
      </w:pPr>
    </w:p>
    <w:p w14:paraId="67FD36FC" w14:textId="77777777" w:rsidR="00000000" w:rsidRDefault="00000000">
      <w:pPr>
        <w:pStyle w:val="Title"/>
        <w:jc w:val="both"/>
        <w:rPr>
          <w:b w:val="0"/>
          <w:bCs w:val="0"/>
          <w:sz w:val="24"/>
        </w:rPr>
      </w:pPr>
      <w:r>
        <w:rPr>
          <w:b w:val="0"/>
          <w:bCs w:val="0"/>
          <w:color w:val="800080"/>
          <w:sz w:val="24"/>
        </w:rPr>
        <w:t>Of all the many weapons used in modern war undoubtedly the use of poison gas is the most terrible.  We who saw this queer looking bank of mist sweeping across “No Man’s Land” were puzzled at first and did not know what to make of it.”</w:t>
      </w:r>
    </w:p>
    <w:p w14:paraId="7833420D" w14:textId="77777777" w:rsidR="00000000" w:rsidRDefault="00000000">
      <w:pPr>
        <w:pStyle w:val="Title"/>
        <w:jc w:val="left"/>
      </w:pPr>
    </w:p>
    <w:p w14:paraId="6179EB20" w14:textId="77777777" w:rsidR="00000000" w:rsidRDefault="00000000">
      <w:pPr>
        <w:pStyle w:val="Title"/>
        <w:jc w:val="left"/>
      </w:pPr>
      <w:r>
        <w:rPr>
          <w:b w:val="0"/>
          <w:bCs w:val="0"/>
          <w:sz w:val="24"/>
        </w:rPr>
        <w:t>Albert Bowden and Albert Minchinton, both remembered on the Stoke War Memorial, were in the 1</w:t>
      </w:r>
      <w:r>
        <w:rPr>
          <w:b w:val="0"/>
          <w:bCs w:val="0"/>
          <w:sz w:val="24"/>
          <w:vertAlign w:val="superscript"/>
        </w:rPr>
        <w:t>st</w:t>
      </w:r>
      <w:r>
        <w:rPr>
          <w:b w:val="0"/>
          <w:bCs w:val="0"/>
          <w:sz w:val="24"/>
        </w:rPr>
        <w:t xml:space="preserve"> Dorsetshires, on Hill 60.  Albert Minchinton died on 2</w:t>
      </w:r>
      <w:r>
        <w:rPr>
          <w:b w:val="0"/>
          <w:bCs w:val="0"/>
          <w:sz w:val="24"/>
          <w:vertAlign w:val="superscript"/>
        </w:rPr>
        <w:t>nd</w:t>
      </w:r>
      <w:r>
        <w:rPr>
          <w:b w:val="0"/>
          <w:bCs w:val="0"/>
          <w:sz w:val="24"/>
        </w:rPr>
        <w:t xml:space="preserve"> May, the day after Fred.  </w:t>
      </w:r>
    </w:p>
    <w:p w14:paraId="1D3E14F3" w14:textId="77777777" w:rsidR="00000000" w:rsidRDefault="00000000">
      <w:pPr>
        <w:autoSpaceDE w:val="0"/>
        <w:autoSpaceDN w:val="0"/>
        <w:adjustRightInd w:val="0"/>
        <w:rPr>
          <w:rFonts w:ascii="Garamond" w:hAnsi="Garamond" w:cs="Arial"/>
          <w:szCs w:val="12"/>
          <w:lang w:val="en-US"/>
        </w:rPr>
      </w:pPr>
    </w:p>
    <w:p w14:paraId="71B67E73" w14:textId="77777777" w:rsidR="00000000" w:rsidRDefault="00000000">
      <w:pPr>
        <w:autoSpaceDE w:val="0"/>
        <w:autoSpaceDN w:val="0"/>
        <w:adjustRightInd w:val="0"/>
        <w:rPr>
          <w:rFonts w:ascii="Garamond" w:hAnsi="Garamond" w:cs="Arial"/>
          <w:szCs w:val="12"/>
          <w:lang w:val="en-US"/>
        </w:rPr>
      </w:pPr>
      <w:r>
        <w:rPr>
          <w:rFonts w:ascii="Garamond" w:hAnsi="Garamond" w:cs="Arial"/>
          <w:szCs w:val="12"/>
          <w:lang w:val="en-US"/>
        </w:rPr>
        <w:t>The Western Gazette describes on 15</w:t>
      </w:r>
      <w:r>
        <w:rPr>
          <w:rFonts w:ascii="Garamond" w:hAnsi="Garamond" w:cs="Arial"/>
          <w:szCs w:val="12"/>
          <w:vertAlign w:val="superscript"/>
          <w:lang w:val="en-US"/>
        </w:rPr>
        <w:t>th</w:t>
      </w:r>
      <w:r>
        <w:rPr>
          <w:rFonts w:ascii="Garamond" w:hAnsi="Garamond" w:cs="Arial"/>
          <w:szCs w:val="12"/>
          <w:lang w:val="en-US"/>
        </w:rPr>
        <w:t xml:space="preserve"> October 1915 how Fred died and how his brother found his body and buried him:</w:t>
      </w:r>
    </w:p>
    <w:p w14:paraId="011DE942" w14:textId="77777777" w:rsidR="00000000" w:rsidRDefault="00000000">
      <w:pPr>
        <w:autoSpaceDE w:val="0"/>
        <w:autoSpaceDN w:val="0"/>
        <w:adjustRightInd w:val="0"/>
        <w:rPr>
          <w:rFonts w:ascii="Garamond" w:hAnsi="Garamond" w:cs="Arial"/>
          <w:szCs w:val="12"/>
          <w:lang w:val="en-US"/>
        </w:rPr>
      </w:pPr>
    </w:p>
    <w:p w14:paraId="738A369B" w14:textId="77777777" w:rsidR="00000000" w:rsidRDefault="00000000">
      <w:pPr>
        <w:pStyle w:val="Title"/>
        <w:jc w:val="left"/>
        <w:rPr>
          <w:b w:val="0"/>
          <w:bCs w:val="0"/>
          <w:color w:val="008000"/>
          <w:sz w:val="24"/>
        </w:rPr>
      </w:pPr>
      <w:r>
        <w:rPr>
          <w:b w:val="0"/>
          <w:bCs w:val="0"/>
          <w:color w:val="008000"/>
          <w:sz w:val="24"/>
        </w:rPr>
        <w:t xml:space="preserve">Private G Minchinton who was wounded in the fight on Hill 60 is home on leave.  He has now recovered from his wounds and gives a graphic account of the fighting in the trenches, when his comrade </w:t>
      </w:r>
      <w:r>
        <w:rPr>
          <w:color w:val="008000"/>
          <w:sz w:val="24"/>
        </w:rPr>
        <w:t>Private F Trott</w:t>
      </w:r>
      <w:r>
        <w:rPr>
          <w:b w:val="0"/>
          <w:bCs w:val="0"/>
          <w:color w:val="008000"/>
          <w:sz w:val="24"/>
        </w:rPr>
        <w:t xml:space="preserve"> of this place was killed.  Private Trott was struck by a shell in the chest and killed instantly, and his brother, who was in the second line, was ordered up to fill the gaps, and found his brother dead.  After the fighting, he was one of the men told off to bury the dead, among whom was his own brother.     </w:t>
      </w:r>
    </w:p>
    <w:p w14:paraId="185DC9E7" w14:textId="77777777" w:rsidR="00000000" w:rsidRDefault="00000000">
      <w:pPr>
        <w:pStyle w:val="Title"/>
        <w:jc w:val="left"/>
        <w:rPr>
          <w:b w:val="0"/>
          <w:bCs w:val="0"/>
          <w:color w:val="008000"/>
          <w:sz w:val="24"/>
        </w:rPr>
      </w:pPr>
    </w:p>
    <w:p w14:paraId="61177004" w14:textId="77777777" w:rsidR="00000000" w:rsidRDefault="00000000">
      <w:pPr>
        <w:pStyle w:val="Title"/>
        <w:jc w:val="left"/>
        <w:rPr>
          <w:b w:val="0"/>
          <w:bCs w:val="0"/>
          <w:sz w:val="24"/>
        </w:rPr>
      </w:pPr>
      <w:r>
        <w:rPr>
          <w:b w:val="0"/>
          <w:bCs w:val="0"/>
          <w:sz w:val="24"/>
        </w:rPr>
        <w:t>When Thomas and Angelina came to hear of the details of gas poisoning, they must have been relieved to know that their son was killed instantly by a shell rather than by gas.</w:t>
      </w:r>
    </w:p>
    <w:p w14:paraId="5B314622" w14:textId="77777777" w:rsidR="00000000" w:rsidRDefault="00000000">
      <w:pPr>
        <w:pStyle w:val="Title"/>
        <w:jc w:val="left"/>
        <w:rPr>
          <w:b w:val="0"/>
          <w:bCs w:val="0"/>
          <w:sz w:val="24"/>
        </w:rPr>
      </w:pPr>
    </w:p>
    <w:p w14:paraId="0C5C69C9" w14:textId="77777777" w:rsidR="00000000" w:rsidRDefault="00000000">
      <w:pPr>
        <w:pStyle w:val="Title"/>
        <w:jc w:val="left"/>
        <w:rPr>
          <w:b w:val="0"/>
          <w:bCs w:val="0"/>
          <w:sz w:val="24"/>
        </w:rPr>
      </w:pPr>
      <w:r>
        <w:rPr>
          <w:b w:val="0"/>
          <w:bCs w:val="0"/>
          <w:sz w:val="24"/>
        </w:rPr>
        <w:t>His brother, Gilbert, died on 27</w:t>
      </w:r>
      <w:r>
        <w:rPr>
          <w:b w:val="0"/>
          <w:bCs w:val="0"/>
          <w:sz w:val="24"/>
          <w:vertAlign w:val="superscript"/>
        </w:rPr>
        <w:t>th</w:t>
      </w:r>
      <w:r>
        <w:rPr>
          <w:b w:val="0"/>
          <w:bCs w:val="0"/>
          <w:sz w:val="24"/>
        </w:rPr>
        <w:t xml:space="preserve"> July the following year, when the Western Gazette reported:</w:t>
      </w:r>
    </w:p>
    <w:p w14:paraId="5052F8EB" w14:textId="77777777" w:rsidR="00000000" w:rsidRDefault="00000000">
      <w:pPr>
        <w:pStyle w:val="Title"/>
        <w:jc w:val="left"/>
        <w:rPr>
          <w:b w:val="0"/>
          <w:bCs w:val="0"/>
          <w:sz w:val="24"/>
        </w:rPr>
      </w:pPr>
    </w:p>
    <w:p w14:paraId="1A24325B" w14:textId="77777777" w:rsidR="00000000" w:rsidRDefault="00000000">
      <w:pPr>
        <w:pStyle w:val="BodyText2"/>
        <w:rPr>
          <w:b/>
          <w:bCs/>
        </w:rPr>
      </w:pPr>
      <w:r>
        <w:t xml:space="preserve">4 August 1916  Gallant Brothers:  In the recent severe fighting in France, another of our gallant lads, Private Gilbert Trott, youngest son of Mr Thomas Trott, has been killed.  The sad news was received on Wednesday.  This is the second son whom Mr &amp; Mrs Trott have lost in the war, and another of their sons, Sydney, has recently arrived at a hospital in Southampton, suffering from wounds.  </w:t>
      </w:r>
    </w:p>
    <w:p w14:paraId="79AC7E82" w14:textId="77777777" w:rsidR="00000000" w:rsidRDefault="00000000">
      <w:pPr>
        <w:pStyle w:val="Title"/>
        <w:jc w:val="left"/>
        <w:rPr>
          <w:b w:val="0"/>
          <w:bCs w:val="0"/>
          <w:color w:val="008000"/>
          <w:sz w:val="24"/>
        </w:rPr>
      </w:pPr>
    </w:p>
    <w:p w14:paraId="697E3CEE" w14:textId="77777777" w:rsidR="00000000" w:rsidRDefault="00000000">
      <w:pPr>
        <w:pStyle w:val="Title"/>
        <w:jc w:val="left"/>
        <w:rPr>
          <w:b w:val="0"/>
          <w:bCs w:val="0"/>
          <w:sz w:val="24"/>
          <w:szCs w:val="12"/>
        </w:rPr>
      </w:pPr>
      <w:r>
        <w:rPr>
          <w:b w:val="0"/>
          <w:bCs w:val="0"/>
          <w:sz w:val="24"/>
          <w:szCs w:val="12"/>
        </w:rPr>
        <w:t>Frederick Trott and Albert Minchinton are both remembered on the Menin Gate memorial at Ypres.</w:t>
      </w:r>
    </w:p>
    <w:p w14:paraId="2AF47278" w14:textId="77777777" w:rsidR="00000000" w:rsidRDefault="00000000">
      <w:pPr>
        <w:pStyle w:val="Title"/>
        <w:jc w:val="left"/>
        <w:rPr>
          <w:b w:val="0"/>
          <w:bCs w:val="0"/>
          <w:color w:val="008000"/>
          <w:sz w:val="24"/>
        </w:rPr>
      </w:pPr>
    </w:p>
    <w:p w14:paraId="7ED830AB" w14:textId="77777777" w:rsidR="00000000" w:rsidRDefault="00000000">
      <w:pPr>
        <w:pStyle w:val="Title"/>
        <w:jc w:val="left"/>
        <w:rPr>
          <w:b w:val="0"/>
          <w:bCs w:val="0"/>
          <w:color w:val="008000"/>
          <w:sz w:val="24"/>
        </w:rPr>
      </w:pPr>
    </w:p>
    <w:p w14:paraId="46D01079" w14:textId="14D9474A" w:rsidR="00000000" w:rsidRDefault="00CE1924">
      <w:pPr>
        <w:pStyle w:val="Title"/>
        <w:ind w:left="720" w:firstLine="720"/>
        <w:jc w:val="left"/>
        <w:rPr>
          <w:b w:val="0"/>
          <w:bCs w:val="0"/>
          <w:color w:val="008000"/>
          <w:sz w:val="24"/>
        </w:rPr>
      </w:pPr>
      <w:r>
        <w:rPr>
          <w:b w:val="0"/>
          <w:bCs w:val="0"/>
          <w:noProof/>
          <w:color w:val="008000"/>
        </w:rPr>
        <w:lastRenderedPageBreak/>
        <w:drawing>
          <wp:inline distT="0" distB="0" distL="0" distR="0" wp14:anchorId="4D251E52" wp14:editId="39192626">
            <wp:extent cx="4124325" cy="3181350"/>
            <wp:effectExtent l="0" t="0" r="0" b="0"/>
            <wp:docPr id="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124325" cy="3181350"/>
                    </a:xfrm>
                    <a:prstGeom prst="rect">
                      <a:avLst/>
                    </a:prstGeom>
                    <a:noFill/>
                    <a:ln>
                      <a:noFill/>
                    </a:ln>
                  </pic:spPr>
                </pic:pic>
              </a:graphicData>
            </a:graphic>
          </wp:inline>
        </w:drawing>
      </w:r>
    </w:p>
    <w:p w14:paraId="3714D1A4" w14:textId="77777777" w:rsidR="00000000" w:rsidRDefault="00000000">
      <w:pPr>
        <w:pStyle w:val="Title"/>
        <w:jc w:val="left"/>
        <w:rPr>
          <w:b w:val="0"/>
          <w:bCs w:val="0"/>
          <w:color w:val="008000"/>
          <w:sz w:val="24"/>
        </w:rPr>
      </w:pPr>
    </w:p>
    <w:p w14:paraId="34BB58B2" w14:textId="144825FC" w:rsidR="00000000" w:rsidRDefault="00000000">
      <w:pPr>
        <w:pStyle w:val="Title"/>
        <w:ind w:left="2160"/>
        <w:jc w:val="left"/>
      </w:pPr>
      <w:r>
        <w:t xml:space="preserve">  </w:t>
      </w:r>
      <w:r w:rsidR="00CE1924">
        <w:rPr>
          <w:noProof/>
        </w:rPr>
        <w:drawing>
          <wp:inline distT="0" distB="0" distL="0" distR="0" wp14:anchorId="24091DB6" wp14:editId="3B966908">
            <wp:extent cx="2990850" cy="1114425"/>
            <wp:effectExtent l="0" t="0" r="0" b="0"/>
            <wp:docPr id="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990850" cy="1114425"/>
                    </a:xfrm>
                    <a:prstGeom prst="rect">
                      <a:avLst/>
                    </a:prstGeom>
                    <a:noFill/>
                    <a:ln>
                      <a:noFill/>
                    </a:ln>
                  </pic:spPr>
                </pic:pic>
              </a:graphicData>
            </a:graphic>
          </wp:inline>
        </w:drawing>
      </w:r>
      <w:r>
        <w:rPr>
          <w:b w:val="0"/>
          <w:bCs w:val="0"/>
          <w:color w:val="008000"/>
        </w:rPr>
        <w:t xml:space="preserve">                 </w:t>
      </w:r>
      <w:r>
        <w:t xml:space="preserve">           </w:t>
      </w:r>
    </w:p>
    <w:p w14:paraId="12466F85" w14:textId="77777777" w:rsidR="00000000" w:rsidRDefault="00000000">
      <w:pPr>
        <w:autoSpaceDE w:val="0"/>
        <w:autoSpaceDN w:val="0"/>
        <w:adjustRightInd w:val="0"/>
        <w:rPr>
          <w:rFonts w:ascii="Arial" w:hAnsi="Arial" w:cs="Arial"/>
          <w:sz w:val="12"/>
          <w:szCs w:val="12"/>
          <w:lang w:val="en-US"/>
        </w:rPr>
      </w:pPr>
    </w:p>
    <w:p w14:paraId="33310667" w14:textId="77777777" w:rsidR="00000000" w:rsidRDefault="00000000">
      <w:pPr>
        <w:autoSpaceDE w:val="0"/>
        <w:autoSpaceDN w:val="0"/>
        <w:adjustRightInd w:val="0"/>
        <w:rPr>
          <w:rFonts w:ascii="Arial" w:hAnsi="Arial" w:cs="Arial"/>
          <w:sz w:val="12"/>
          <w:szCs w:val="12"/>
          <w:lang w:val="en-US"/>
        </w:rPr>
      </w:pPr>
    </w:p>
    <w:p w14:paraId="7ACF6306" w14:textId="77777777" w:rsidR="00000000" w:rsidRDefault="00000000">
      <w:pPr>
        <w:autoSpaceDE w:val="0"/>
        <w:autoSpaceDN w:val="0"/>
        <w:adjustRightInd w:val="0"/>
        <w:rPr>
          <w:rFonts w:ascii="Arial" w:hAnsi="Arial" w:cs="Arial"/>
          <w:sz w:val="12"/>
          <w:szCs w:val="12"/>
          <w:lang w:val="en-US"/>
        </w:rPr>
      </w:pPr>
    </w:p>
    <w:p w14:paraId="0116D392" w14:textId="77777777" w:rsidR="00000000" w:rsidRDefault="00000000">
      <w:pPr>
        <w:autoSpaceDE w:val="0"/>
        <w:autoSpaceDN w:val="0"/>
        <w:adjustRightInd w:val="0"/>
        <w:rPr>
          <w:rFonts w:ascii="Arial" w:hAnsi="Arial" w:cs="Arial"/>
          <w:sz w:val="12"/>
          <w:szCs w:val="12"/>
          <w:lang w:val="en-US"/>
        </w:rPr>
      </w:pPr>
    </w:p>
    <w:p w14:paraId="63BF3B37" w14:textId="77777777" w:rsidR="00000000" w:rsidRDefault="00000000">
      <w:pPr>
        <w:autoSpaceDE w:val="0"/>
        <w:autoSpaceDN w:val="0"/>
        <w:adjustRightInd w:val="0"/>
        <w:rPr>
          <w:rFonts w:ascii="Arial" w:hAnsi="Arial" w:cs="Arial"/>
          <w:sz w:val="12"/>
          <w:szCs w:val="12"/>
          <w:lang w:val="en-US"/>
        </w:rPr>
      </w:pPr>
    </w:p>
    <w:p w14:paraId="3A4F8925" w14:textId="77777777" w:rsidR="00000000" w:rsidRDefault="00000000">
      <w:pPr>
        <w:autoSpaceDE w:val="0"/>
        <w:autoSpaceDN w:val="0"/>
        <w:adjustRightInd w:val="0"/>
        <w:rPr>
          <w:rFonts w:ascii="Garamond" w:hAnsi="Garamond" w:cs="Arial"/>
          <w:szCs w:val="12"/>
          <w:lang w:val="en-US"/>
        </w:rPr>
      </w:pPr>
    </w:p>
    <w:p w14:paraId="184D1F6B" w14:textId="77777777" w:rsidR="00000000" w:rsidRDefault="00000000">
      <w:pPr>
        <w:autoSpaceDE w:val="0"/>
        <w:autoSpaceDN w:val="0"/>
        <w:adjustRightInd w:val="0"/>
        <w:rPr>
          <w:rFonts w:ascii="Arial" w:hAnsi="Arial" w:cs="Arial"/>
          <w:sz w:val="12"/>
          <w:szCs w:val="12"/>
          <w:lang w:val="en-US"/>
        </w:rPr>
      </w:pPr>
    </w:p>
    <w:p w14:paraId="61BB1094" w14:textId="77777777" w:rsidR="00BB3344" w:rsidRDefault="00BB3344"/>
    <w:sectPr w:rsidR="00BB3344">
      <w:footerReference w:type="even" r:id="rId12"/>
      <w:footerReference w:type="default" r:id="rId13"/>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7A71590" w14:textId="77777777" w:rsidR="00BB3344" w:rsidRDefault="00BB3344">
      <w:r>
        <w:separator/>
      </w:r>
    </w:p>
  </w:endnote>
  <w:endnote w:type="continuationSeparator" w:id="0">
    <w:p w14:paraId="1471E3B7" w14:textId="77777777" w:rsidR="00BB3344" w:rsidRDefault="00BB33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46C3C86" w14:textId="77777777" w:rsidR="00000000" w:rsidRDefault="0000000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475A8EAF" w14:textId="77777777" w:rsidR="00000000" w:rsidRDefault="0000000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B183644" w14:textId="77777777" w:rsidR="00000000" w:rsidRDefault="0000000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4</w:t>
    </w:r>
    <w:r>
      <w:rPr>
        <w:rStyle w:val="PageNumber"/>
      </w:rPr>
      <w:fldChar w:fldCharType="end"/>
    </w:r>
  </w:p>
  <w:p w14:paraId="0AE68195" w14:textId="77777777" w:rsidR="00000000" w:rsidRDefault="000000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48D2773" w14:textId="77777777" w:rsidR="00BB3344" w:rsidRDefault="00BB3344">
      <w:r>
        <w:separator/>
      </w:r>
    </w:p>
  </w:footnote>
  <w:footnote w:type="continuationSeparator" w:id="0">
    <w:p w14:paraId="32C995C1" w14:textId="77777777" w:rsidR="00BB3344" w:rsidRDefault="00BB334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06CD"/>
    <w:rsid w:val="00A006CD"/>
    <w:rsid w:val="00BB3344"/>
    <w:rsid w:val="00CE192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B3C953F"/>
  <w15:chartTrackingRefBased/>
  <w15:docId w15:val="{157300FC-1331-4382-AD7C-22D450360F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eastAsia="en-US"/>
    </w:rPr>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autoSpaceDE w:val="0"/>
      <w:autoSpaceDN w:val="0"/>
      <w:adjustRightInd w:val="0"/>
      <w:jc w:val="center"/>
    </w:pPr>
    <w:rPr>
      <w:rFonts w:ascii="Garamond" w:hAnsi="Garamond" w:cs="Arial"/>
      <w:b/>
      <w:bCs/>
      <w:sz w:val="28"/>
      <w:szCs w:val="23"/>
      <w:lang w:val="en-US"/>
    </w:rPr>
  </w:style>
  <w:style w:type="paragraph" w:styleId="Footer">
    <w:name w:val="footer"/>
    <w:basedOn w:val="Normal"/>
    <w:semiHidden/>
    <w:pPr>
      <w:tabs>
        <w:tab w:val="center" w:pos="4153"/>
        <w:tab w:val="right" w:pos="8306"/>
      </w:tabs>
    </w:pPr>
  </w:style>
  <w:style w:type="character" w:styleId="PageNumber">
    <w:name w:val="page number"/>
    <w:basedOn w:val="DefaultParagraphFont"/>
    <w:semiHidden/>
  </w:style>
  <w:style w:type="paragraph" w:styleId="BodyText2">
    <w:name w:val="Body Text 2"/>
    <w:basedOn w:val="Normal"/>
    <w:semiHidden/>
    <w:pPr>
      <w:autoSpaceDE w:val="0"/>
      <w:autoSpaceDN w:val="0"/>
      <w:adjustRightInd w:val="0"/>
    </w:pPr>
    <w:rPr>
      <w:rFonts w:ascii="Garamond" w:hAnsi="Garamond" w:cs="Arial"/>
      <w:color w:val="00800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wmf"/><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image" Target="media/image5.wmf"/><Relationship Id="rId4" Type="http://schemas.openxmlformats.org/officeDocument/2006/relationships/footnotes" Target="footnotes.xml"/><Relationship Id="rId9" Type="http://schemas.openxmlformats.org/officeDocument/2006/relationships/image" Target="media/image4.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878</Words>
  <Characters>5006</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Fred Trott’s Story</vt:lpstr>
    </vt:vector>
  </TitlesOfParts>
  <Company>Home</Company>
  <LinksUpToDate>false</LinksUpToDate>
  <CharactersWithSpaces>5873</CharactersWithSpaces>
  <SharedDoc>false</SharedDoc>
  <HLinks>
    <vt:vector size="18" baseType="variant">
      <vt:variant>
        <vt:i4>524366</vt:i4>
      </vt:variant>
      <vt:variant>
        <vt:i4>2582</vt:i4>
      </vt:variant>
      <vt:variant>
        <vt:i4>1027</vt:i4>
      </vt:variant>
      <vt:variant>
        <vt:i4>1</vt:i4>
      </vt:variant>
      <vt:variant>
        <vt:lpwstr>..\..\..\EXHIBITION\Photos\Group photos of WW1 volunteers\WW1 Volunteers (4).CP.tif</vt:lpwstr>
      </vt:variant>
      <vt:variant>
        <vt:lpwstr/>
      </vt:variant>
      <vt:variant>
        <vt:i4>5046290</vt:i4>
      </vt:variant>
      <vt:variant>
        <vt:i4>3748</vt:i4>
      </vt:variant>
      <vt:variant>
        <vt:i4>1028</vt:i4>
      </vt:variant>
      <vt:variant>
        <vt:i4>1</vt:i4>
      </vt:variant>
      <vt:variant>
        <vt:lpwstr>http://www.cwgc.org/ypres/admin/files/ypres%20map%202.jpg</vt:lpwstr>
      </vt:variant>
      <vt:variant>
        <vt:lpwstr/>
      </vt:variant>
      <vt:variant>
        <vt:i4>7340072</vt:i4>
      </vt:variant>
      <vt:variant>
        <vt:i4>5255</vt:i4>
      </vt:variant>
      <vt:variant>
        <vt:i4>1026</vt:i4>
      </vt:variant>
      <vt:variant>
        <vt:i4>1</vt:i4>
      </vt:variant>
      <vt:variant>
        <vt:lpwstr>http://schoolworkhelper.net/wp-content/uploads/2010/12/Second-Battle-Ypres.jpg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Fred Trott’s Story</dc:title>
  <dc:subject/>
  <dc:creator>Owner</dc:creator>
  <cp:keywords/>
  <dc:description/>
  <cp:lastModifiedBy>Angela Hodges</cp:lastModifiedBy>
  <cp:revision>2</cp:revision>
  <dcterms:created xsi:type="dcterms:W3CDTF">2025-01-02T10:26:00Z</dcterms:created>
  <dcterms:modified xsi:type="dcterms:W3CDTF">2025-01-02T10:26:00Z</dcterms:modified>
</cp:coreProperties>
</file>